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F39CC" w14:textId="43A8BC92" w:rsidR="00BA17DA" w:rsidRPr="00BA17DA" w:rsidRDefault="007F0FE2" w:rsidP="00BA17DA">
      <w:pPr>
        <w:rPr>
          <w:b/>
          <w:bCs/>
        </w:rPr>
      </w:pPr>
      <w:r>
        <w:rPr>
          <w:b/>
          <w:bCs/>
          <w:u w:val="single"/>
        </w:rPr>
        <w:t>GKSO.I.271</w:t>
      </w:r>
      <w:r w:rsidR="00BA17DA">
        <w:rPr>
          <w:b/>
          <w:bCs/>
          <w:u w:val="single"/>
        </w:rPr>
        <w:t>.3.2020</w:t>
      </w:r>
      <w:r w:rsidR="003879BA">
        <w:rPr>
          <w:b/>
          <w:bCs/>
        </w:rPr>
        <w:tab/>
      </w:r>
      <w:r w:rsidR="003879BA">
        <w:rPr>
          <w:b/>
          <w:bCs/>
        </w:rPr>
        <w:tab/>
      </w:r>
      <w:r w:rsidR="003879BA">
        <w:rPr>
          <w:b/>
          <w:bCs/>
        </w:rPr>
        <w:tab/>
      </w:r>
      <w:r w:rsidR="003879BA">
        <w:rPr>
          <w:b/>
          <w:bCs/>
        </w:rPr>
        <w:tab/>
      </w:r>
      <w:r w:rsidR="003879BA">
        <w:rPr>
          <w:b/>
          <w:bCs/>
        </w:rPr>
        <w:tab/>
      </w:r>
      <w:r w:rsidR="003879BA">
        <w:rPr>
          <w:b/>
          <w:bCs/>
        </w:rPr>
        <w:tab/>
      </w:r>
      <w:r w:rsidR="003879BA">
        <w:rPr>
          <w:b/>
          <w:bCs/>
        </w:rPr>
        <w:tab/>
        <w:t>Kiwity, dnia 26</w:t>
      </w:r>
      <w:r w:rsidR="00BA17DA">
        <w:rPr>
          <w:b/>
          <w:bCs/>
        </w:rPr>
        <w:t xml:space="preserve">.03.2020r. </w:t>
      </w:r>
    </w:p>
    <w:p w14:paraId="05891616" w14:textId="77777777" w:rsidR="00BA17DA" w:rsidRDefault="00BA17DA" w:rsidP="00BA17DA">
      <w:pPr>
        <w:rPr>
          <w:b/>
          <w:bCs/>
          <w:u w:val="single"/>
        </w:rPr>
      </w:pPr>
    </w:p>
    <w:p w14:paraId="18678354" w14:textId="29A0F905" w:rsidR="00BA17DA" w:rsidRDefault="00BA17DA" w:rsidP="00BA17DA">
      <w:pPr>
        <w:rPr>
          <w:b/>
        </w:rPr>
      </w:pPr>
      <w:r w:rsidRPr="00BA17DA">
        <w:rPr>
          <w:bCs/>
        </w:rPr>
        <w:t xml:space="preserve">Dotyczy: Postepowania o udzielenie zamówienia publicznego pn.: </w:t>
      </w:r>
      <w:r w:rsidRPr="00BA17DA">
        <w:rPr>
          <w:b/>
          <w:bCs/>
        </w:rPr>
        <w:t>„</w:t>
      </w:r>
      <w:r w:rsidRPr="00BA17DA">
        <w:rPr>
          <w:b/>
        </w:rPr>
        <w:t>Modernizacja, dostawa i wdrożenie systemów informatycznych, digitalizacja zasobów informacji przestrzennej oraz uruchomienie e-usług publicznych z dostawą niezbędnego sprzętu”</w:t>
      </w:r>
    </w:p>
    <w:p w14:paraId="1F7DEFB6" w14:textId="7EE49592" w:rsidR="00BA17DA" w:rsidRPr="00BA17DA" w:rsidRDefault="00BA17DA" w:rsidP="00BA17DA">
      <w:pPr>
        <w:rPr>
          <w:bCs/>
        </w:rPr>
      </w:pPr>
      <w:r>
        <w:t>Gmina Kiwity zwana dalej „Zamawiającym”</w:t>
      </w:r>
      <w:r w:rsidR="005A3864">
        <w:t xml:space="preserve">  zawiadamia</w:t>
      </w:r>
      <w:r w:rsidR="002E14CA">
        <w:t xml:space="preserve">, że </w:t>
      </w:r>
      <w:r w:rsidR="003879BA">
        <w:t xml:space="preserve">potencjalni </w:t>
      </w:r>
      <w:r w:rsidR="002E14CA">
        <w:t xml:space="preserve"> </w:t>
      </w:r>
      <w:r w:rsidR="003879BA">
        <w:t>Wykonawcy skierowali</w:t>
      </w:r>
      <w:r w:rsidR="005A3864">
        <w:t xml:space="preserve"> do Z</w:t>
      </w:r>
      <w:r w:rsidR="00BE3321">
        <w:t>a</w:t>
      </w:r>
      <w:r w:rsidR="005A3864">
        <w:t xml:space="preserve">mawiającego  zapytanie o następującej treści: </w:t>
      </w:r>
    </w:p>
    <w:p w14:paraId="48F110A1" w14:textId="24C5A16A" w:rsidR="003879BA" w:rsidRPr="001A6CF5" w:rsidRDefault="003879BA" w:rsidP="003879BA">
      <w:pPr>
        <w:rPr>
          <w:b/>
          <w:bCs/>
          <w:u w:val="single"/>
        </w:rPr>
      </w:pPr>
      <w:r w:rsidRPr="001A6CF5">
        <w:rPr>
          <w:b/>
          <w:bCs/>
          <w:u w:val="single"/>
        </w:rPr>
        <w:t>Odpowiedzi na pytania</w:t>
      </w:r>
      <w:r w:rsidR="006070D6">
        <w:rPr>
          <w:b/>
          <w:bCs/>
          <w:u w:val="single"/>
        </w:rPr>
        <w:t xml:space="preserve"> potencjalnych</w:t>
      </w:r>
      <w:r w:rsidRPr="001A6CF5">
        <w:rPr>
          <w:b/>
          <w:bCs/>
          <w:u w:val="single"/>
        </w:rPr>
        <w:t xml:space="preserve"> wykonawców</w:t>
      </w:r>
      <w:bookmarkStart w:id="0" w:name="_GoBack"/>
      <w:bookmarkEnd w:id="0"/>
    </w:p>
    <w:p w14:paraId="6317C3E2" w14:textId="340C24FE" w:rsidR="003879BA" w:rsidRPr="005E6322" w:rsidRDefault="003879BA" w:rsidP="003879BA">
      <w:pPr>
        <w:rPr>
          <w:b/>
          <w:bCs/>
          <w:u w:val="single"/>
        </w:rPr>
      </w:pPr>
      <w:r w:rsidRPr="005E6322">
        <w:rPr>
          <w:b/>
          <w:bCs/>
          <w:u w:val="single"/>
        </w:rPr>
        <w:t xml:space="preserve">Pytania </w:t>
      </w:r>
      <w:r w:rsidR="000B556B">
        <w:rPr>
          <w:b/>
          <w:bCs/>
          <w:u w:val="single"/>
        </w:rPr>
        <w:t>potencjonalnego wykonawcy</w:t>
      </w:r>
      <w:r w:rsidRPr="005E6322">
        <w:rPr>
          <w:b/>
          <w:bCs/>
          <w:u w:val="single"/>
        </w:rPr>
        <w:t>. z dn. 23.03.2020 r.</w:t>
      </w:r>
    </w:p>
    <w:p w14:paraId="21C29550" w14:textId="77777777" w:rsidR="003879BA" w:rsidRPr="001A6CF5" w:rsidRDefault="003879BA" w:rsidP="003879BA">
      <w:pPr>
        <w:rPr>
          <w:rFonts w:ascii="Calibri" w:hAnsi="Calibri" w:cs="Calibri"/>
          <w:b/>
          <w:bCs/>
          <w:color w:val="000000"/>
        </w:rPr>
      </w:pPr>
      <w:r w:rsidRPr="001A6CF5">
        <w:rPr>
          <w:rFonts w:ascii="Calibri" w:hAnsi="Calibri" w:cs="Calibri"/>
          <w:b/>
          <w:bCs/>
          <w:color w:val="000000"/>
        </w:rPr>
        <w:t xml:space="preserve">1. </w:t>
      </w:r>
      <w:bookmarkStart w:id="1" w:name="_Hlk35889229"/>
      <w:r w:rsidRPr="001A6CF5">
        <w:rPr>
          <w:rFonts w:ascii="Calibri" w:hAnsi="Calibri" w:cs="Calibri"/>
          <w:b/>
          <w:bCs/>
          <w:color w:val="000000"/>
        </w:rPr>
        <w:t xml:space="preserve">W załączniku nr 8.1 do SIWZ (Wzór umowy dla Części 1.) w § 13 </w:t>
      </w:r>
      <w:bookmarkEnd w:id="1"/>
      <w:r w:rsidRPr="001A6CF5">
        <w:rPr>
          <w:rFonts w:ascii="Calibri" w:hAnsi="Calibri" w:cs="Calibri"/>
          <w:b/>
          <w:bCs/>
          <w:color w:val="000000"/>
        </w:rPr>
        <w:t>w punkcie 5. Zamawiający wymaga, aby udzielane licencje były bez ograniczeń czasowych i terytorialnych. O ile Zamawiający może wykazywać potrzebę wprowadzania ograniczeń czasowych, czyli udzielenia licencji na czas nieoznaczony, o tyle wymóg udzielenia licencji bez ograniczeń terytorialnych narusza zasady uczciwej konkurencji i równego traktowania wykonawców. Producenci oprogramowania nie przewidują w swoich warunkach licencyjnych korzystania z oprogramowania bez ograniczeń terytorialnych, a polskie spółki, będące częścią firmy globalnej jako dystrybutorzy oprogramowania, nie mogą przenieść więcej praw niż sami posiadają, a co za tym idzie zapewnić nieograniczonej terytorialnie licencji. Postawienie wymagań ograniczających konkurencję jest dopuszczalne, o ile jest podyktowane obiektywnymi, uzasadnionymi potrzebami. Natomiast z naszego doświadczenia zawodowego jesteśmy w stanie stwierdzić, iż specyfika systemów typu GIS, przeznaczonych do gromadzenia i wykorzystywania danych urzędowych, sprowadza się do wykorzystywania takich systemów jedynie na terytorium Polski. Mając na uwadze powyższe czy Zamawiający potwierdza, że może ograniczyć udzielenie licencji do terytorium Rzeczypospolitej Polskiej? Jeżeli nie, to czy Zamawiający może uzasadnić w jakim celu jest mu potrzebne posiadanie licencji bez ograniczeń terytorialnych?</w:t>
      </w:r>
    </w:p>
    <w:p w14:paraId="40E6DA3B" w14:textId="77777777" w:rsidR="003879BA" w:rsidRDefault="003879BA" w:rsidP="003879BA">
      <w:pPr>
        <w:rPr>
          <w:rFonts w:ascii="Calibri" w:hAnsi="Calibri" w:cs="Calibri"/>
          <w:color w:val="000000"/>
        </w:rPr>
      </w:pPr>
      <w:r w:rsidRPr="001A6CF5">
        <w:rPr>
          <w:rFonts w:ascii="Calibri" w:hAnsi="Calibri" w:cs="Calibri"/>
          <w:color w:val="000000"/>
        </w:rPr>
        <w:t>Odp. Intencją Zamawiającego było zapewnienie możliwości korzystania z części front-</w:t>
      </w:r>
      <w:proofErr w:type="spellStart"/>
      <w:r w:rsidRPr="001A6CF5">
        <w:rPr>
          <w:rFonts w:ascii="Calibri" w:hAnsi="Calibri" w:cs="Calibri"/>
          <w:color w:val="000000"/>
        </w:rPr>
        <w:t>office</w:t>
      </w:r>
      <w:proofErr w:type="spellEnd"/>
      <w:r w:rsidRPr="001A6CF5">
        <w:rPr>
          <w:rFonts w:ascii="Calibri" w:hAnsi="Calibri" w:cs="Calibri"/>
          <w:color w:val="000000"/>
        </w:rPr>
        <w:t xml:space="preserve"> oprogramowania użytkownikom zewnętrznym bez ograniczeń terytorialnych. W tym celu w załączniku nr 8.1 do SIWZ (Wzór umowy dla Części 1.) w § 13 ust. 4 zawarł postanowienie o treści: „W zakresie, w jakim z brzmienia Umowy lub właściwości Oprogramowania wynika, że Oprogramowanie lub jego komponenty (np. aplikacja użytkownika końcowego, skrypty, </w:t>
      </w:r>
      <w:proofErr w:type="spellStart"/>
      <w:r w:rsidRPr="001A6CF5">
        <w:rPr>
          <w:rFonts w:ascii="Calibri" w:hAnsi="Calibri" w:cs="Calibri"/>
          <w:color w:val="000000"/>
        </w:rPr>
        <w:t>applety</w:t>
      </w:r>
      <w:proofErr w:type="spellEnd"/>
      <w:r w:rsidRPr="001A6CF5">
        <w:rPr>
          <w:rFonts w:ascii="Calibri" w:hAnsi="Calibri" w:cs="Calibri"/>
          <w:color w:val="000000"/>
        </w:rPr>
        <w:t>, inne elementy stron internetowych lub ekrany interfejsu użytkownika) przeznaczone są do udostępnienia osobom trzecim, udzielone lub zapewniane przez Wykonawcę upoważnienie (licencja) na korzystanie z Oprogramowania obejmuje również dostęp do takiego Oprogramowania lub jego komponentów (…) w taki sposób, aby każdy mógł mieć do niego dostęp w miejscu i w czasie przez siebie wybranym. W zakresie, w jakim jest to niezbędne dla zapewnienia zgodnego z prawem korzystania z komponentów Oprogramowania przez osoby trzecie, Zamawiający jest uprawniony do udzielania takim osobom sublicencji”. W celu udzielenia sublicencji Zamawiający musi posiadać odpowiedni</w:t>
      </w:r>
      <w:r>
        <w:rPr>
          <w:rFonts w:ascii="Calibri" w:hAnsi="Calibri" w:cs="Calibri"/>
          <w:color w:val="000000"/>
        </w:rPr>
        <w:t>e</w:t>
      </w:r>
      <w:r w:rsidRPr="001A6CF5">
        <w:rPr>
          <w:rFonts w:ascii="Calibri" w:hAnsi="Calibri" w:cs="Calibri"/>
          <w:color w:val="000000"/>
        </w:rPr>
        <w:t xml:space="preserve"> licencje</w:t>
      </w:r>
      <w:r>
        <w:rPr>
          <w:rFonts w:ascii="Calibri" w:hAnsi="Calibri" w:cs="Calibri"/>
          <w:color w:val="000000"/>
        </w:rPr>
        <w:t>, stąd w przytoczonym w pytaniu postanowieniu umownym nie przewiduje ograniczeń terytorialnych licencjonowania.</w:t>
      </w:r>
    </w:p>
    <w:p w14:paraId="734EDDCD" w14:textId="77777777" w:rsidR="003879BA" w:rsidRPr="001A6CF5" w:rsidRDefault="003879BA" w:rsidP="003879BA">
      <w:pPr>
        <w:rPr>
          <w:rFonts w:ascii="Calibri" w:hAnsi="Calibri" w:cs="Calibri"/>
          <w:color w:val="000000"/>
        </w:rPr>
      </w:pPr>
      <w:r>
        <w:rPr>
          <w:rFonts w:ascii="Calibri" w:hAnsi="Calibri" w:cs="Calibri"/>
          <w:color w:val="000000"/>
        </w:rPr>
        <w:t>Jednocześnie Zamawiający informuje, że część wewnętrzna oprogramowania (</w:t>
      </w:r>
      <w:proofErr w:type="spellStart"/>
      <w:r>
        <w:rPr>
          <w:rFonts w:ascii="Calibri" w:hAnsi="Calibri" w:cs="Calibri"/>
          <w:color w:val="000000"/>
        </w:rPr>
        <w:t>back-office</w:t>
      </w:r>
      <w:proofErr w:type="spellEnd"/>
      <w:r>
        <w:rPr>
          <w:rFonts w:ascii="Calibri" w:hAnsi="Calibri" w:cs="Calibri"/>
          <w:color w:val="000000"/>
        </w:rPr>
        <w:t xml:space="preserve">) będzie wykorzystywana w jednostkach Zamawiającego zlokalizowanych na terenie gminy Kiwity, a więc rozwiązań </w:t>
      </w:r>
      <w:proofErr w:type="spellStart"/>
      <w:r>
        <w:rPr>
          <w:rFonts w:ascii="Calibri" w:hAnsi="Calibri" w:cs="Calibri"/>
          <w:color w:val="000000"/>
        </w:rPr>
        <w:t>back-office</w:t>
      </w:r>
      <w:proofErr w:type="spellEnd"/>
      <w:r>
        <w:rPr>
          <w:rFonts w:ascii="Calibri" w:hAnsi="Calibri" w:cs="Calibri"/>
          <w:color w:val="000000"/>
        </w:rPr>
        <w:t>, w tym stanowiących część Systemu zarządzania zasobami informacji przestrzennej Zamawiający nie będzie wykorzystywał poza terytorium Polski.</w:t>
      </w:r>
    </w:p>
    <w:p w14:paraId="339FEF8B" w14:textId="77777777" w:rsidR="003879BA" w:rsidRPr="00272256" w:rsidRDefault="003879BA" w:rsidP="003879BA">
      <w:pPr>
        <w:rPr>
          <w:rFonts w:ascii="Calibri" w:hAnsi="Calibri" w:cs="Calibri"/>
          <w:b/>
          <w:bCs/>
          <w:color w:val="000000"/>
        </w:rPr>
      </w:pPr>
      <w:r w:rsidRPr="00272256">
        <w:rPr>
          <w:rFonts w:ascii="Calibri" w:hAnsi="Calibri" w:cs="Calibri"/>
          <w:b/>
          <w:bCs/>
          <w:color w:val="000000"/>
        </w:rPr>
        <w:lastRenderedPageBreak/>
        <w:t>2. W załączniku nr 8.1 do SIWZ (Wzór umowy dla Części 1.) w § 13 w punkcie 5. Zamawiający wymaga, aby udzielane licencje były bez ograniczeń co do liczby użytkowników, co jest niezgodne z zasadą gospodarności i zasadami wydatkowania finansów publicznych. Zwracamy uwagę na to, iż ilość użytkowników systemu wiąże się bezpośrednio z liczbą pracowników zatrudnionych w instytucji, którzy będą korzystać z oprogramowania klasy GIS do zarządzania zasobami informacji przestrzennej. Z racji naszego doświadczenia zawodowego jesteśmy w stanie stwierdzić, że wymaganie dotyczące dostarczenia aplikacji desktop dla około 2 jednoczesnych użytkowników wydaje się w zupełności zaspakajać potrzeby Urzędu w gminie liczącej około 3500 mieszkańców i jednocześnie być zgodne z zasadą gospodarności i zasadami wydatkowania finansów publicznych. Mając na uwadze powyższe, czy Zamawiający potwierdza, że udzieleniu mu licencji na konkretną, uzasadnioną potrzebami ilość użytkowników desktopowych (np. 2) będzie wystarczająca, biorąc pod uwagę to, że dostęp poprzez przeglądarkę internetową nie będzie posiadał ograniczeń co do ilości użytkowników?</w:t>
      </w:r>
    </w:p>
    <w:p w14:paraId="19B57AE5" w14:textId="77777777" w:rsidR="003879BA" w:rsidRPr="00E25E54" w:rsidRDefault="003879BA" w:rsidP="003879BA">
      <w:pPr>
        <w:rPr>
          <w:rFonts w:ascii="Calibri" w:hAnsi="Calibri" w:cs="Calibri"/>
          <w:color w:val="000000"/>
          <w:highlight w:val="yellow"/>
        </w:rPr>
      </w:pPr>
      <w:r w:rsidRPr="00272256">
        <w:rPr>
          <w:rFonts w:ascii="Calibri" w:hAnsi="Calibri" w:cs="Calibri"/>
          <w:color w:val="000000"/>
        </w:rPr>
        <w:t>Odp. Zamawiający pozostawia bez zmian wymagania dotyczące braku</w:t>
      </w:r>
      <w:r w:rsidRPr="00272256">
        <w:t xml:space="preserve"> </w:t>
      </w:r>
      <w:r w:rsidRPr="00272256">
        <w:rPr>
          <w:rFonts w:ascii="Calibri" w:hAnsi="Calibri" w:cs="Calibri"/>
          <w:color w:val="000000"/>
        </w:rPr>
        <w:t xml:space="preserve">ograniczeń co do liczby użytkowników oraz urządzeń komputerowych, na których instalowane lub uruchamiane będzie </w:t>
      </w:r>
      <w:r>
        <w:rPr>
          <w:rFonts w:ascii="Calibri" w:hAnsi="Calibri" w:cs="Calibri"/>
          <w:color w:val="000000"/>
        </w:rPr>
        <w:t>o</w:t>
      </w:r>
      <w:r w:rsidRPr="00272256">
        <w:rPr>
          <w:rFonts w:ascii="Calibri" w:hAnsi="Calibri" w:cs="Calibri"/>
          <w:color w:val="000000"/>
        </w:rPr>
        <w:t>programowanie</w:t>
      </w:r>
      <w:r>
        <w:rPr>
          <w:rFonts w:ascii="Calibri" w:hAnsi="Calibri" w:cs="Calibri"/>
          <w:color w:val="000000"/>
        </w:rPr>
        <w:t xml:space="preserve">. Ze względu właśnie na zasadę gospodarności Zamawiający chce uniknąć sytuacji w przyszłości, gdy wskutek zmian organizacyjnych, kadrowych, kompetencyjnych, infrastrukturalnych (np. dotyczących zasobów sprzętowych) czy jakichkolwiek innych, będzie zmuszony do ponoszenia dodatkowych nakładów w celu umożliwienia korzystania z oprogramowania przez każdego potencjalnego użytkownika, któremu może okazać się to potrzebne. </w:t>
      </w:r>
    </w:p>
    <w:p w14:paraId="62385D09" w14:textId="77777777" w:rsidR="003879BA" w:rsidRPr="00272256" w:rsidRDefault="003879BA" w:rsidP="003879BA">
      <w:pPr>
        <w:rPr>
          <w:rFonts w:ascii="Calibri" w:hAnsi="Calibri" w:cs="Calibri"/>
          <w:b/>
          <w:bCs/>
          <w:color w:val="000000"/>
        </w:rPr>
      </w:pPr>
      <w:r w:rsidRPr="00272256">
        <w:rPr>
          <w:rFonts w:ascii="Calibri" w:hAnsi="Calibri" w:cs="Calibri"/>
          <w:b/>
          <w:bCs/>
          <w:color w:val="000000"/>
        </w:rPr>
        <w:t>3. Wymienione w OPZ zapisy jednoznacznie wskazują na komercyjne rozwiązanie firmy GIAP Sp. z o.o., a co za tym idzie, naruszają zasadę uczciwej konkurencji i równego traktowania wykonawców. Przykładowo, moduły dotyczące wypisów i wyrysów są opisane tak szczegółowo i specyficznie dla wspomnianej firmy, że każdemu innemu potencjalnemu wykonawcy będzie trudno spełnić te wymagania, a co za tym idzie uniemożliwi to złożenie oferty. Taka sytuacja wpływa niekorzystnie nie tylko na potencjalnych Wykonawców, ale także na interes Zamawiającego, który powinien kierować się zasadą gospodarności przy wydatkowaniu środków publicznych i zadbać o możliwość składania jak największej ilości ofert, aby umożliwić uczciwą konkurencję, która ma przełożenie na cenę oferty. Mając na uwadze powyższe, wnioskujemy o usunięcie opisów wskazujących na rozwiązanie jednej firmy i pozostawienie takich, które w faktyczny i uzasadniony sposób są potrzebne Zamawiającemu.</w:t>
      </w:r>
    </w:p>
    <w:p w14:paraId="275604CD" w14:textId="77777777" w:rsidR="003879BA" w:rsidRDefault="003879BA" w:rsidP="003879BA">
      <w:pPr>
        <w:rPr>
          <w:rFonts w:ascii="Calibri" w:hAnsi="Calibri" w:cs="Calibri"/>
          <w:color w:val="000000"/>
        </w:rPr>
      </w:pPr>
      <w:r>
        <w:rPr>
          <w:rFonts w:ascii="Calibri" w:hAnsi="Calibri" w:cs="Calibri"/>
          <w:color w:val="000000"/>
        </w:rPr>
        <w:t>Odp. Zamawiający wyspecyfikował funkcjonalności, które są mu potrzebne. Funkcje związane z automatyzacją wypisów i wyrysów są ściśle związane z planowanymi do uruchomienia e-usługami o wysokim poziomie dojrzałości, będącymi kluczowym elementem projektu. Wykonawca nie wskazał, które konkretnie wymagania trudno jest mu spełnić, poprzestając na ogólnej ich krytyce. Zamawiający pozostawia wymagania Załącznika nr 1 do SIWZ bez zmian.</w:t>
      </w:r>
    </w:p>
    <w:p w14:paraId="2A0300D8" w14:textId="20357105" w:rsidR="003879BA" w:rsidRPr="005E6322" w:rsidRDefault="003879BA" w:rsidP="003879BA">
      <w:pPr>
        <w:rPr>
          <w:rFonts w:ascii="Calibri" w:hAnsi="Calibri" w:cs="Calibri"/>
          <w:b/>
          <w:bCs/>
          <w:color w:val="000000"/>
          <w:u w:val="single"/>
        </w:rPr>
      </w:pPr>
      <w:r w:rsidRPr="005E6322">
        <w:rPr>
          <w:rFonts w:ascii="Calibri" w:hAnsi="Calibri" w:cs="Calibri"/>
          <w:b/>
          <w:bCs/>
          <w:color w:val="000000"/>
          <w:u w:val="single"/>
        </w:rPr>
        <w:t xml:space="preserve">Pytania </w:t>
      </w:r>
      <w:r w:rsidR="000B556B">
        <w:rPr>
          <w:rFonts w:ascii="Calibri" w:hAnsi="Calibri" w:cs="Calibri"/>
          <w:b/>
          <w:bCs/>
          <w:color w:val="000000"/>
          <w:u w:val="single"/>
        </w:rPr>
        <w:t>potencjonalnego wykonawcy</w:t>
      </w:r>
      <w:r w:rsidRPr="005E6322">
        <w:rPr>
          <w:rFonts w:ascii="Calibri" w:hAnsi="Calibri" w:cs="Calibri"/>
          <w:b/>
          <w:bCs/>
          <w:color w:val="000000"/>
          <w:u w:val="single"/>
        </w:rPr>
        <w:t xml:space="preserve"> z dnia 23 marca 2020 r.</w:t>
      </w:r>
    </w:p>
    <w:p w14:paraId="5044262D" w14:textId="77777777" w:rsidR="003879BA" w:rsidRPr="00E25E54" w:rsidRDefault="003879BA" w:rsidP="003879BA">
      <w:pPr>
        <w:rPr>
          <w:rFonts w:ascii="Calibri" w:hAnsi="Calibri" w:cs="Calibri"/>
          <w:b/>
          <w:bCs/>
          <w:color w:val="000000"/>
        </w:rPr>
      </w:pPr>
      <w:r w:rsidRPr="00E25E54">
        <w:rPr>
          <w:rFonts w:ascii="Calibri" w:hAnsi="Calibri" w:cs="Calibri"/>
          <w:b/>
          <w:bCs/>
          <w:color w:val="000000"/>
        </w:rPr>
        <w:t>Pytanie 1</w:t>
      </w:r>
    </w:p>
    <w:p w14:paraId="61795FAB" w14:textId="77777777" w:rsidR="003879BA" w:rsidRPr="00E25E54" w:rsidRDefault="003879BA" w:rsidP="003879BA">
      <w:pPr>
        <w:rPr>
          <w:rFonts w:ascii="Calibri" w:hAnsi="Calibri" w:cs="Calibri"/>
          <w:b/>
          <w:bCs/>
          <w:color w:val="000000"/>
        </w:rPr>
      </w:pPr>
      <w:r w:rsidRPr="00E25E54">
        <w:rPr>
          <w:rFonts w:ascii="Calibri" w:hAnsi="Calibri" w:cs="Calibri"/>
          <w:b/>
          <w:bCs/>
          <w:color w:val="000000"/>
        </w:rPr>
        <w:t>Dot. 2.6.1. Wymagania funkcjonalne ogólne (Zakup licencji elektronicznego systemu obiegu dokumentów), załącznik nr 1 OPZ.</w:t>
      </w:r>
    </w:p>
    <w:p w14:paraId="0857FC5D" w14:textId="77777777" w:rsidR="003879BA" w:rsidRPr="00E25E54" w:rsidRDefault="003879BA" w:rsidP="003879BA">
      <w:pPr>
        <w:rPr>
          <w:rFonts w:ascii="Calibri" w:hAnsi="Calibri" w:cs="Calibri"/>
          <w:b/>
          <w:bCs/>
          <w:color w:val="000000"/>
        </w:rPr>
      </w:pPr>
      <w:r w:rsidRPr="00E25E54">
        <w:rPr>
          <w:rFonts w:ascii="Calibri" w:hAnsi="Calibri" w:cs="Calibri"/>
          <w:b/>
          <w:bCs/>
          <w:color w:val="000000"/>
        </w:rPr>
        <w:t>18. EOD musi zapewniać możliwość:</w:t>
      </w:r>
    </w:p>
    <w:p w14:paraId="32793C13" w14:textId="77777777" w:rsidR="003879BA" w:rsidRPr="00E25E54" w:rsidRDefault="003879BA" w:rsidP="003879BA">
      <w:pPr>
        <w:rPr>
          <w:rFonts w:ascii="Calibri" w:hAnsi="Calibri" w:cs="Calibri"/>
          <w:b/>
          <w:bCs/>
          <w:color w:val="000000"/>
        </w:rPr>
      </w:pPr>
      <w:r w:rsidRPr="00E25E54">
        <w:rPr>
          <w:rFonts w:ascii="Calibri" w:hAnsi="Calibri" w:cs="Calibri"/>
          <w:b/>
          <w:bCs/>
          <w:color w:val="000000"/>
        </w:rPr>
        <w:t>(…)</w:t>
      </w:r>
    </w:p>
    <w:p w14:paraId="700278E5" w14:textId="77777777" w:rsidR="003879BA" w:rsidRPr="00E25E54" w:rsidRDefault="003879BA" w:rsidP="003879BA">
      <w:pPr>
        <w:rPr>
          <w:rFonts w:ascii="Calibri" w:hAnsi="Calibri" w:cs="Calibri"/>
          <w:b/>
          <w:bCs/>
          <w:color w:val="000000"/>
        </w:rPr>
      </w:pPr>
      <w:r w:rsidRPr="00E25E54">
        <w:rPr>
          <w:rFonts w:ascii="Calibri" w:hAnsi="Calibri" w:cs="Calibri"/>
          <w:b/>
          <w:bCs/>
          <w:color w:val="000000"/>
        </w:rPr>
        <w:t>c. automatycznego</w:t>
      </w:r>
      <w:r>
        <w:rPr>
          <w:rFonts w:ascii="Calibri" w:hAnsi="Calibri" w:cs="Calibri"/>
          <w:b/>
          <w:bCs/>
          <w:color w:val="000000"/>
        </w:rPr>
        <w:t xml:space="preserve"> </w:t>
      </w:r>
      <w:r w:rsidRPr="00E25E54">
        <w:rPr>
          <w:rFonts w:ascii="Calibri" w:hAnsi="Calibri" w:cs="Calibri"/>
          <w:b/>
          <w:bCs/>
          <w:color w:val="000000"/>
        </w:rPr>
        <w:t xml:space="preserve">odrzucania prób ustalenia przez użytkownika trywialnego hasła </w:t>
      </w:r>
    </w:p>
    <w:p w14:paraId="29E4DAC9" w14:textId="77777777" w:rsidR="003879BA" w:rsidRPr="00E25E54" w:rsidRDefault="003879BA" w:rsidP="003879BA">
      <w:pPr>
        <w:rPr>
          <w:rFonts w:ascii="Calibri" w:hAnsi="Calibri" w:cs="Calibri"/>
          <w:b/>
          <w:bCs/>
          <w:color w:val="000000"/>
        </w:rPr>
      </w:pPr>
      <w:r w:rsidRPr="00E25E54">
        <w:rPr>
          <w:rFonts w:ascii="Calibri" w:hAnsi="Calibri" w:cs="Calibri"/>
          <w:b/>
          <w:bCs/>
          <w:color w:val="000000"/>
        </w:rPr>
        <w:lastRenderedPageBreak/>
        <w:t>(np. imienia lub nazwiska użytkownika)</w:t>
      </w:r>
    </w:p>
    <w:p w14:paraId="4BAA1295" w14:textId="77777777" w:rsidR="003879BA" w:rsidRPr="00E25E54" w:rsidRDefault="003879BA" w:rsidP="003879BA">
      <w:pPr>
        <w:rPr>
          <w:rFonts w:ascii="Calibri" w:hAnsi="Calibri" w:cs="Calibri"/>
          <w:b/>
          <w:bCs/>
          <w:color w:val="000000"/>
        </w:rPr>
      </w:pPr>
      <w:r w:rsidRPr="00E25E54">
        <w:rPr>
          <w:rFonts w:ascii="Calibri" w:hAnsi="Calibri" w:cs="Calibri"/>
          <w:b/>
          <w:bCs/>
          <w:color w:val="000000"/>
        </w:rPr>
        <w:t xml:space="preserve">PYTANIE: Czy Zamawiający uzna rozwiązanie równoważne, polegające na możliwości stworzenie w systemie EOD takiego wzorca hasła, który uniemożliwi wprowadzenie trywialnego hasła (np. imienia lub nazwiska użytkownika)? </w:t>
      </w:r>
    </w:p>
    <w:p w14:paraId="5697B57F" w14:textId="77777777" w:rsidR="003879BA" w:rsidRPr="00E25E54" w:rsidRDefault="003879BA" w:rsidP="003879BA">
      <w:pPr>
        <w:rPr>
          <w:rFonts w:ascii="Calibri" w:hAnsi="Calibri" w:cs="Calibri"/>
          <w:color w:val="000000"/>
        </w:rPr>
      </w:pPr>
      <w:r w:rsidRPr="00E25E54">
        <w:rPr>
          <w:rFonts w:ascii="Calibri" w:hAnsi="Calibri" w:cs="Calibri"/>
          <w:color w:val="000000"/>
        </w:rPr>
        <w:t xml:space="preserve">Odp. Zamawiający uzna rozwiązanie </w:t>
      </w:r>
      <w:r>
        <w:rPr>
          <w:rFonts w:ascii="Calibri" w:hAnsi="Calibri" w:cs="Calibri"/>
          <w:color w:val="000000"/>
        </w:rPr>
        <w:t xml:space="preserve">wskazane w powyższym pytaniu </w:t>
      </w:r>
      <w:r w:rsidRPr="00E25E54">
        <w:rPr>
          <w:rFonts w:ascii="Calibri" w:hAnsi="Calibri" w:cs="Calibri"/>
          <w:color w:val="000000"/>
        </w:rPr>
        <w:t>za spełniające wymagania SIWZ.</w:t>
      </w:r>
    </w:p>
    <w:p w14:paraId="151A9B09" w14:textId="77777777" w:rsidR="003879BA" w:rsidRPr="00587E96" w:rsidRDefault="003879BA" w:rsidP="003879BA">
      <w:pPr>
        <w:rPr>
          <w:rFonts w:ascii="Calibri" w:hAnsi="Calibri" w:cs="Calibri"/>
          <w:b/>
          <w:bCs/>
          <w:color w:val="000000"/>
        </w:rPr>
      </w:pPr>
      <w:r w:rsidRPr="00587E96">
        <w:rPr>
          <w:rFonts w:ascii="Calibri" w:hAnsi="Calibri" w:cs="Calibri"/>
          <w:b/>
          <w:bCs/>
          <w:color w:val="000000"/>
        </w:rPr>
        <w:t>Pytanie 2</w:t>
      </w:r>
    </w:p>
    <w:p w14:paraId="38BA7034" w14:textId="77777777" w:rsidR="003879BA" w:rsidRPr="00587E96" w:rsidRDefault="003879BA" w:rsidP="003879BA">
      <w:pPr>
        <w:rPr>
          <w:rFonts w:ascii="Calibri" w:hAnsi="Calibri" w:cs="Calibri"/>
          <w:b/>
          <w:bCs/>
          <w:color w:val="000000"/>
        </w:rPr>
      </w:pPr>
      <w:r w:rsidRPr="00587E96">
        <w:rPr>
          <w:rFonts w:ascii="Calibri" w:hAnsi="Calibri" w:cs="Calibri"/>
          <w:b/>
          <w:bCs/>
          <w:color w:val="000000"/>
        </w:rPr>
        <w:t>Dot. 2.6.1. Wymagania funkcjonalne ogólne (Zakup licencji elektronicznego systemu obiegu dokumentów), załącznik nr 1 OPZ.</w:t>
      </w:r>
    </w:p>
    <w:p w14:paraId="636F3CC0" w14:textId="77777777" w:rsidR="003879BA" w:rsidRPr="00587E96" w:rsidRDefault="003879BA" w:rsidP="003879BA">
      <w:pPr>
        <w:rPr>
          <w:rFonts w:ascii="Calibri" w:hAnsi="Calibri" w:cs="Calibri"/>
          <w:b/>
          <w:bCs/>
          <w:color w:val="000000"/>
        </w:rPr>
      </w:pPr>
      <w:bookmarkStart w:id="2" w:name="_Hlk35887852"/>
      <w:r w:rsidRPr="00587E96">
        <w:rPr>
          <w:rFonts w:ascii="Calibri" w:hAnsi="Calibri" w:cs="Calibri"/>
          <w:b/>
          <w:bCs/>
          <w:color w:val="000000"/>
        </w:rPr>
        <w:t xml:space="preserve">16. System musi umożliwiać integrację z Active Directory w trybie SSO (Single </w:t>
      </w:r>
      <w:proofErr w:type="spellStart"/>
      <w:r w:rsidRPr="00587E96">
        <w:rPr>
          <w:rFonts w:ascii="Calibri" w:hAnsi="Calibri" w:cs="Calibri"/>
          <w:b/>
          <w:bCs/>
          <w:color w:val="000000"/>
        </w:rPr>
        <w:t>Sign</w:t>
      </w:r>
      <w:proofErr w:type="spellEnd"/>
      <w:r w:rsidRPr="00587E96">
        <w:rPr>
          <w:rFonts w:ascii="Calibri" w:hAnsi="Calibri" w:cs="Calibri"/>
          <w:b/>
          <w:bCs/>
          <w:color w:val="000000"/>
        </w:rPr>
        <w:t xml:space="preserve"> On). Logowanie do systemu odbywa się automatycznie za pomocą danych z konta AD. Użytkownik po zalogowaniu do AD nie musi logować się drugi raz do systemu EOD.</w:t>
      </w:r>
    </w:p>
    <w:bookmarkEnd w:id="2"/>
    <w:p w14:paraId="3D7A84FD" w14:textId="77777777" w:rsidR="003879BA" w:rsidRPr="00587E96" w:rsidRDefault="003879BA" w:rsidP="003879BA">
      <w:pPr>
        <w:rPr>
          <w:rFonts w:ascii="Calibri" w:hAnsi="Calibri" w:cs="Calibri"/>
          <w:b/>
          <w:bCs/>
          <w:color w:val="000000"/>
        </w:rPr>
      </w:pPr>
      <w:r w:rsidRPr="00587E96">
        <w:rPr>
          <w:rFonts w:ascii="Calibri" w:hAnsi="Calibri" w:cs="Calibri"/>
          <w:b/>
          <w:bCs/>
          <w:color w:val="000000"/>
        </w:rPr>
        <w:t>PYTANIE: Czy Zamawiający uzna rozwiązanie równoważne, polegające na możliwości logowania się do systemu EDO za pomocą loginów i haseł przechowywyanych w Active Directory?</w:t>
      </w:r>
    </w:p>
    <w:p w14:paraId="204CC5B0" w14:textId="77777777" w:rsidR="003879BA" w:rsidRPr="00587E96" w:rsidRDefault="003879BA" w:rsidP="003879BA">
      <w:pPr>
        <w:rPr>
          <w:rFonts w:ascii="Calibri" w:hAnsi="Calibri" w:cs="Calibri"/>
          <w:color w:val="000000"/>
        </w:rPr>
      </w:pPr>
      <w:r w:rsidRPr="00587E96">
        <w:rPr>
          <w:rFonts w:ascii="Calibri" w:hAnsi="Calibri" w:cs="Calibri"/>
          <w:color w:val="000000"/>
        </w:rPr>
        <w:t>Odp. Tak, Zamawiający dopuści takie rozwiązanie. Zamawiający modyfikuje ww. wymaganie, które otrzymuje brzmienie:</w:t>
      </w:r>
    </w:p>
    <w:p w14:paraId="3C48BA5E" w14:textId="77777777" w:rsidR="003879BA" w:rsidRPr="00587E96" w:rsidRDefault="003879BA" w:rsidP="003879BA">
      <w:pPr>
        <w:rPr>
          <w:rFonts w:ascii="Calibri" w:hAnsi="Calibri" w:cs="Calibri"/>
          <w:color w:val="000000"/>
        </w:rPr>
      </w:pPr>
      <w:r w:rsidRPr="00587E96">
        <w:rPr>
          <w:rFonts w:ascii="Calibri" w:hAnsi="Calibri" w:cs="Calibri"/>
          <w:color w:val="000000"/>
        </w:rPr>
        <w:t>„16. System musi umożliwiać integrację z Active Directory. Logowanie do systemu musi odbywać się za pomocą danych z konta AD”.</w:t>
      </w:r>
    </w:p>
    <w:p w14:paraId="4D228249" w14:textId="77777777" w:rsidR="003879BA" w:rsidRPr="00E25E54" w:rsidRDefault="003879BA" w:rsidP="003879BA">
      <w:pPr>
        <w:rPr>
          <w:rFonts w:ascii="Calibri" w:hAnsi="Calibri" w:cs="Calibri"/>
          <w:b/>
          <w:bCs/>
          <w:color w:val="000000"/>
        </w:rPr>
      </w:pPr>
      <w:r w:rsidRPr="00E25E54">
        <w:rPr>
          <w:rFonts w:ascii="Calibri" w:hAnsi="Calibri" w:cs="Calibri"/>
          <w:b/>
          <w:bCs/>
          <w:color w:val="000000"/>
        </w:rPr>
        <w:t>Pytanie 3</w:t>
      </w:r>
    </w:p>
    <w:p w14:paraId="3FED1811" w14:textId="77777777" w:rsidR="003879BA" w:rsidRPr="00E25E54" w:rsidRDefault="003879BA" w:rsidP="003879BA">
      <w:pPr>
        <w:rPr>
          <w:rFonts w:ascii="Calibri" w:hAnsi="Calibri" w:cs="Calibri"/>
          <w:b/>
          <w:bCs/>
          <w:color w:val="000000"/>
        </w:rPr>
      </w:pPr>
      <w:r w:rsidRPr="00E25E54">
        <w:rPr>
          <w:rFonts w:ascii="Calibri" w:hAnsi="Calibri" w:cs="Calibri"/>
          <w:b/>
          <w:bCs/>
          <w:color w:val="000000"/>
        </w:rPr>
        <w:t>Dot. 2.5.3. Migracja danych do zintegrowanego systemu dziedzinowego, załącznik nr 1 OPZ.</w:t>
      </w:r>
    </w:p>
    <w:p w14:paraId="05C10D16" w14:textId="77777777" w:rsidR="003879BA" w:rsidRPr="00E25E54" w:rsidRDefault="003879BA" w:rsidP="003879BA">
      <w:pPr>
        <w:rPr>
          <w:rFonts w:ascii="Calibri" w:hAnsi="Calibri" w:cs="Calibri"/>
          <w:b/>
          <w:bCs/>
          <w:color w:val="000000"/>
        </w:rPr>
      </w:pPr>
      <w:r w:rsidRPr="00E25E54">
        <w:rPr>
          <w:rFonts w:ascii="Calibri" w:hAnsi="Calibri" w:cs="Calibri"/>
          <w:b/>
          <w:bCs/>
          <w:color w:val="000000"/>
        </w:rPr>
        <w:t xml:space="preserve">1. Wykonawca ma obowiązek przeprowadzenia analizy przedwdrożeniowej obejmującej: </w:t>
      </w:r>
    </w:p>
    <w:p w14:paraId="5A1FAE5A" w14:textId="77777777" w:rsidR="003879BA" w:rsidRPr="00E25E54" w:rsidRDefault="003879BA" w:rsidP="003879BA">
      <w:pPr>
        <w:rPr>
          <w:rFonts w:ascii="Calibri" w:hAnsi="Calibri" w:cs="Calibri"/>
          <w:b/>
          <w:bCs/>
          <w:color w:val="000000"/>
        </w:rPr>
      </w:pPr>
      <w:r w:rsidRPr="00E25E54">
        <w:rPr>
          <w:rFonts w:ascii="Calibri" w:hAnsi="Calibri" w:cs="Calibri"/>
          <w:b/>
          <w:bCs/>
          <w:color w:val="000000"/>
        </w:rPr>
        <w:t>1) analizę dotychczasowego sposobu organizacji pracy w obszarach ZSD i EOD.</w:t>
      </w:r>
    </w:p>
    <w:p w14:paraId="0C7096BA" w14:textId="77777777" w:rsidR="003879BA" w:rsidRPr="00E25E54" w:rsidRDefault="003879BA" w:rsidP="003879BA">
      <w:pPr>
        <w:rPr>
          <w:rFonts w:ascii="Calibri" w:hAnsi="Calibri" w:cs="Calibri"/>
          <w:b/>
          <w:bCs/>
          <w:color w:val="000000"/>
        </w:rPr>
      </w:pPr>
      <w:r w:rsidRPr="00E25E54">
        <w:rPr>
          <w:rFonts w:ascii="Calibri" w:hAnsi="Calibri" w:cs="Calibri"/>
          <w:b/>
          <w:bCs/>
          <w:color w:val="000000"/>
        </w:rPr>
        <w:t>PYTANIE: Zwracamy się z prośbą o potwierdzenie, iż wymagania migracyjne nie dotyczą systemu EOD, tzn. dostarczany system EOD nie będzie zasilony dokumentami pochodzącymi z innego systemu EOD.</w:t>
      </w:r>
    </w:p>
    <w:p w14:paraId="565323DA" w14:textId="77777777" w:rsidR="003879BA" w:rsidRDefault="003879BA" w:rsidP="003879BA">
      <w:pPr>
        <w:rPr>
          <w:rFonts w:ascii="Calibri" w:hAnsi="Calibri" w:cs="Calibri"/>
          <w:color w:val="000000"/>
        </w:rPr>
      </w:pPr>
      <w:r w:rsidRPr="00E25E54">
        <w:rPr>
          <w:rFonts w:ascii="Calibri" w:hAnsi="Calibri" w:cs="Calibri"/>
          <w:color w:val="000000"/>
        </w:rPr>
        <w:t>Odp. Zamawiający potwierdza, że nie wymaga zasilenia EOD będącego przedmiotem zamówienia dokumentami pochodzącymi z innego systemu EOD.</w:t>
      </w:r>
    </w:p>
    <w:p w14:paraId="4E934A92" w14:textId="347A3828" w:rsidR="003879BA" w:rsidRPr="005E6322" w:rsidRDefault="003879BA" w:rsidP="003879BA">
      <w:pPr>
        <w:rPr>
          <w:rFonts w:ascii="Calibri" w:hAnsi="Calibri" w:cs="Calibri"/>
          <w:b/>
          <w:bCs/>
          <w:color w:val="000000"/>
          <w:u w:val="single"/>
        </w:rPr>
      </w:pPr>
      <w:r w:rsidRPr="005E6322">
        <w:rPr>
          <w:rFonts w:ascii="Calibri" w:hAnsi="Calibri" w:cs="Calibri"/>
          <w:b/>
          <w:bCs/>
          <w:color w:val="000000"/>
          <w:u w:val="single"/>
        </w:rPr>
        <w:t xml:space="preserve">Pytanie </w:t>
      </w:r>
      <w:r w:rsidR="000B556B">
        <w:rPr>
          <w:rFonts w:ascii="Calibri" w:hAnsi="Calibri" w:cs="Calibri"/>
          <w:b/>
          <w:bCs/>
          <w:color w:val="000000"/>
          <w:u w:val="single"/>
        </w:rPr>
        <w:t>pytania potencjonalnego wykonawcy</w:t>
      </w:r>
      <w:r w:rsidRPr="005E6322">
        <w:rPr>
          <w:rFonts w:ascii="Calibri" w:hAnsi="Calibri" w:cs="Calibri"/>
          <w:b/>
          <w:bCs/>
          <w:color w:val="000000"/>
          <w:u w:val="single"/>
        </w:rPr>
        <w:t xml:space="preserve"> z dn. 24.03.2020 r.</w:t>
      </w:r>
    </w:p>
    <w:p w14:paraId="03A09DDB" w14:textId="77777777" w:rsidR="003879BA" w:rsidRPr="005E6322" w:rsidRDefault="003879BA" w:rsidP="003879BA">
      <w:pPr>
        <w:rPr>
          <w:rFonts w:ascii="Calibri" w:hAnsi="Calibri" w:cs="Calibri"/>
          <w:b/>
          <w:bCs/>
          <w:color w:val="000000"/>
        </w:rPr>
      </w:pPr>
      <w:r w:rsidRPr="005E6322">
        <w:rPr>
          <w:rFonts w:ascii="Calibri" w:hAnsi="Calibri" w:cs="Calibri"/>
          <w:b/>
          <w:bCs/>
          <w:color w:val="000000"/>
        </w:rPr>
        <w:t>Proszę o wyjaśnienie informacje czy oferenci mają wpłacać WADIUM na nr konta Bank Millennium SA</w:t>
      </w:r>
    </w:p>
    <w:p w14:paraId="43D493BB" w14:textId="77777777" w:rsidR="003879BA" w:rsidRPr="005E6322" w:rsidRDefault="003879BA" w:rsidP="003879BA">
      <w:pPr>
        <w:rPr>
          <w:rFonts w:ascii="Calibri" w:hAnsi="Calibri" w:cs="Calibri"/>
          <w:b/>
          <w:bCs/>
          <w:color w:val="000000"/>
        </w:rPr>
      </w:pPr>
      <w:r w:rsidRPr="005E6322">
        <w:rPr>
          <w:rFonts w:ascii="Calibri" w:hAnsi="Calibri" w:cs="Calibri"/>
          <w:b/>
          <w:bCs/>
          <w:color w:val="000000"/>
        </w:rPr>
        <w:t xml:space="preserve">04 1160 2202 0000 0000 6193 1352 – </w:t>
      </w:r>
      <w:proofErr w:type="spellStart"/>
      <w:r w:rsidRPr="005E6322">
        <w:rPr>
          <w:rFonts w:ascii="Calibri" w:hAnsi="Calibri" w:cs="Calibri"/>
          <w:b/>
          <w:bCs/>
          <w:color w:val="000000"/>
        </w:rPr>
        <w:t>tj</w:t>
      </w:r>
      <w:proofErr w:type="spellEnd"/>
      <w:r w:rsidRPr="005E6322">
        <w:rPr>
          <w:rFonts w:ascii="Calibri" w:hAnsi="Calibri" w:cs="Calibri"/>
          <w:b/>
          <w:bCs/>
          <w:color w:val="000000"/>
        </w:rPr>
        <w:t xml:space="preserve"> identyczny jak przy zabezpieczenia należytego wykonania umowy??</w:t>
      </w:r>
    </w:p>
    <w:p w14:paraId="4D34371D" w14:textId="77777777" w:rsidR="003879BA" w:rsidRPr="005E6322" w:rsidRDefault="003879BA" w:rsidP="003879BA">
      <w:pPr>
        <w:rPr>
          <w:rFonts w:ascii="Calibri" w:hAnsi="Calibri" w:cs="Calibri"/>
          <w:b/>
          <w:bCs/>
          <w:color w:val="000000"/>
        </w:rPr>
      </w:pPr>
      <w:r w:rsidRPr="005E6322">
        <w:rPr>
          <w:rFonts w:ascii="Calibri" w:hAnsi="Calibri" w:cs="Calibri"/>
          <w:b/>
          <w:bCs/>
          <w:color w:val="000000"/>
        </w:rPr>
        <w:t>Czy oferenci mają przy Wadium wpisać nr części na która chcą składać ofertę oraz GKŚO.I.271.3.2020?</w:t>
      </w:r>
    </w:p>
    <w:p w14:paraId="673326A1" w14:textId="77777777" w:rsidR="003879BA" w:rsidRDefault="003879BA" w:rsidP="003879BA">
      <w:pPr>
        <w:rPr>
          <w:rFonts w:ascii="Calibri" w:hAnsi="Calibri" w:cs="Calibri"/>
          <w:color w:val="000000"/>
        </w:rPr>
      </w:pPr>
      <w:r>
        <w:rPr>
          <w:rFonts w:ascii="Calibri" w:hAnsi="Calibri" w:cs="Calibri"/>
          <w:color w:val="000000"/>
        </w:rPr>
        <w:t>Odp. Zamawiający dokonuje uzupełnienia pkt. 8.3 lit a) SIWZ:</w:t>
      </w:r>
    </w:p>
    <w:p w14:paraId="305DD930" w14:textId="4042026A" w:rsidR="003879BA" w:rsidRDefault="003879BA" w:rsidP="003879BA">
      <w:pPr>
        <w:rPr>
          <w:rFonts w:ascii="Calibri" w:hAnsi="Calibri" w:cs="Calibri"/>
          <w:color w:val="000000"/>
        </w:rPr>
      </w:pPr>
      <w:r>
        <w:rPr>
          <w:rFonts w:ascii="Calibri" w:hAnsi="Calibri" w:cs="Calibri"/>
          <w:color w:val="000000"/>
        </w:rPr>
        <w:t xml:space="preserve">„pieniądzu na rachunek bankowy Zamawiającego </w:t>
      </w:r>
      <w:r w:rsidRPr="004D44D5">
        <w:rPr>
          <w:rFonts w:ascii="Times New Roman" w:hAnsi="Times New Roman" w:cs="Times New Roman"/>
          <w:color w:val="000000"/>
        </w:rPr>
        <w:t>Bank Millennium S.A. Lidzbark Warmiński</w:t>
      </w:r>
      <w:r>
        <w:rPr>
          <w:rFonts w:ascii="Times New Roman" w:hAnsi="Times New Roman" w:cs="Times New Roman"/>
          <w:color w:val="000000"/>
        </w:rPr>
        <w:t>:</w:t>
      </w:r>
      <w:r>
        <w:rPr>
          <w:rFonts w:ascii="Times New Roman" w:hAnsi="Times New Roman"/>
          <w:color w:val="000000"/>
        </w:rPr>
        <w:t xml:space="preserve"> </w:t>
      </w:r>
      <w:r w:rsidRPr="001605C7">
        <w:rPr>
          <w:rFonts w:ascii="Times New Roman" w:hAnsi="Times New Roman" w:cs="Times New Roman"/>
        </w:rPr>
        <w:t xml:space="preserve">Nr rachunku : </w:t>
      </w:r>
      <w:r w:rsidRPr="004D44D5">
        <w:rPr>
          <w:rFonts w:ascii="Times New Roman" w:hAnsi="Times New Roman" w:cs="Times New Roman"/>
          <w:color w:val="000000"/>
        </w:rPr>
        <w:t>14</w:t>
      </w:r>
      <w:r>
        <w:rPr>
          <w:rFonts w:ascii="Times New Roman" w:hAnsi="Times New Roman"/>
          <w:color w:val="000000"/>
        </w:rPr>
        <w:t xml:space="preserve"> </w:t>
      </w:r>
      <w:r w:rsidRPr="004D44D5">
        <w:rPr>
          <w:rFonts w:ascii="Times New Roman" w:hAnsi="Times New Roman" w:cs="Times New Roman"/>
          <w:color w:val="000000"/>
        </w:rPr>
        <w:t>1160</w:t>
      </w:r>
      <w:r>
        <w:rPr>
          <w:rFonts w:ascii="Times New Roman" w:hAnsi="Times New Roman"/>
          <w:color w:val="000000"/>
        </w:rPr>
        <w:t xml:space="preserve"> </w:t>
      </w:r>
      <w:r w:rsidRPr="004D44D5">
        <w:rPr>
          <w:rFonts w:ascii="Times New Roman" w:hAnsi="Times New Roman" w:cs="Times New Roman"/>
          <w:color w:val="000000"/>
        </w:rPr>
        <w:t>2202</w:t>
      </w:r>
      <w:r>
        <w:rPr>
          <w:rFonts w:ascii="Times New Roman" w:hAnsi="Times New Roman"/>
          <w:color w:val="000000"/>
        </w:rPr>
        <w:t xml:space="preserve"> </w:t>
      </w:r>
      <w:r w:rsidRPr="004D44D5">
        <w:rPr>
          <w:rFonts w:ascii="Times New Roman" w:hAnsi="Times New Roman" w:cs="Times New Roman"/>
          <w:color w:val="000000"/>
        </w:rPr>
        <w:t>0000</w:t>
      </w:r>
      <w:r>
        <w:rPr>
          <w:rFonts w:ascii="Times New Roman" w:hAnsi="Times New Roman"/>
          <w:color w:val="000000"/>
        </w:rPr>
        <w:t xml:space="preserve"> </w:t>
      </w:r>
      <w:r w:rsidRPr="004D44D5">
        <w:rPr>
          <w:rFonts w:ascii="Times New Roman" w:hAnsi="Times New Roman" w:cs="Times New Roman"/>
          <w:color w:val="000000"/>
        </w:rPr>
        <w:t>0000</w:t>
      </w:r>
      <w:r>
        <w:rPr>
          <w:rFonts w:ascii="Times New Roman" w:hAnsi="Times New Roman"/>
          <w:color w:val="000000"/>
        </w:rPr>
        <w:t xml:space="preserve"> </w:t>
      </w:r>
      <w:r w:rsidRPr="004D44D5">
        <w:rPr>
          <w:rFonts w:ascii="Times New Roman" w:hAnsi="Times New Roman" w:cs="Times New Roman"/>
          <w:color w:val="000000"/>
        </w:rPr>
        <w:t>6193</w:t>
      </w:r>
      <w:r>
        <w:rPr>
          <w:rFonts w:ascii="Times New Roman" w:hAnsi="Times New Roman"/>
          <w:color w:val="000000"/>
        </w:rPr>
        <w:t xml:space="preserve"> </w:t>
      </w:r>
      <w:r w:rsidRPr="004D44D5">
        <w:rPr>
          <w:rFonts w:ascii="Times New Roman" w:hAnsi="Times New Roman" w:cs="Times New Roman"/>
          <w:color w:val="000000"/>
        </w:rPr>
        <w:t>1366</w:t>
      </w:r>
      <w:r w:rsidR="006D624C">
        <w:rPr>
          <w:rFonts w:ascii="Times New Roman" w:hAnsi="Times New Roman" w:cs="Times New Roman"/>
          <w:color w:val="000000"/>
        </w:rPr>
        <w:t xml:space="preserve"> </w:t>
      </w:r>
      <w:r>
        <w:rPr>
          <w:rFonts w:ascii="Times New Roman" w:hAnsi="Times New Roman" w:cs="Times New Roman"/>
          <w:color w:val="000000"/>
        </w:rPr>
        <w:t>w tytule przel</w:t>
      </w:r>
      <w:r w:rsidR="006D624C">
        <w:rPr>
          <w:rFonts w:ascii="Times New Roman" w:hAnsi="Times New Roman" w:cs="Times New Roman"/>
          <w:color w:val="000000"/>
        </w:rPr>
        <w:t xml:space="preserve">ewu należy podać nr część zamówienia   na którą wadium zostaje wpłacone oraz znak GKŚO.I.271.3.2020 </w:t>
      </w:r>
      <w:r>
        <w:rPr>
          <w:rFonts w:ascii="Calibri" w:hAnsi="Calibri" w:cs="Calibri"/>
          <w:color w:val="000000"/>
        </w:rPr>
        <w:t>”.</w:t>
      </w:r>
    </w:p>
    <w:p w14:paraId="1B61D317" w14:textId="77777777" w:rsidR="003879BA" w:rsidRDefault="003879BA" w:rsidP="003879BA">
      <w:pPr>
        <w:rPr>
          <w:rFonts w:ascii="Calibri" w:hAnsi="Calibri" w:cs="Calibri"/>
          <w:color w:val="000000"/>
        </w:rPr>
      </w:pPr>
      <w:r>
        <w:rPr>
          <w:rFonts w:ascii="Calibri" w:hAnsi="Calibri" w:cs="Calibri"/>
          <w:color w:val="000000"/>
        </w:rPr>
        <w:lastRenderedPageBreak/>
        <w:t>Wpłata musi być opisana w sposób umożliwiający jej jednoznaczną identyfikację, opis wskazany przez Wykonawcę w pytaniu jest odpowiedni.</w:t>
      </w:r>
    </w:p>
    <w:p w14:paraId="12EBEC3B" w14:textId="77777777" w:rsidR="003879BA" w:rsidRDefault="003879BA" w:rsidP="003879BA">
      <w:pPr>
        <w:rPr>
          <w:rFonts w:ascii="Calibri" w:hAnsi="Calibri" w:cs="Calibri"/>
          <w:color w:val="000000"/>
        </w:rPr>
      </w:pPr>
      <w:r>
        <w:rPr>
          <w:rFonts w:ascii="Calibri" w:hAnsi="Calibri" w:cs="Calibri"/>
          <w:color w:val="000000"/>
        </w:rPr>
        <w:t>Zamawiający dokonuje modyfikacji pkt. 15.6 SIWZ:</w:t>
      </w:r>
    </w:p>
    <w:p w14:paraId="7FD242DC" w14:textId="77777777" w:rsidR="003879BA" w:rsidRDefault="003879BA" w:rsidP="003879BA">
      <w:pPr>
        <w:rPr>
          <w:rFonts w:ascii="Calibri" w:hAnsi="Calibri" w:cs="Calibri"/>
          <w:color w:val="000000"/>
        </w:rPr>
      </w:pPr>
      <w:r>
        <w:rPr>
          <w:rFonts w:ascii="Calibri" w:hAnsi="Calibri" w:cs="Calibri"/>
          <w:color w:val="000000"/>
        </w:rPr>
        <w:t>„</w:t>
      </w:r>
      <w:r w:rsidRPr="005E6322">
        <w:rPr>
          <w:rFonts w:ascii="Calibri" w:hAnsi="Calibri" w:cs="Calibri"/>
          <w:color w:val="000000"/>
        </w:rPr>
        <w:t>Zabezpieczenie wnoszone w pieniądzu Wykonawca wpłaca przelewem na rachunek bankowy Zamawiającego</w:t>
      </w:r>
      <w:r>
        <w:rPr>
          <w:rFonts w:ascii="Calibri" w:hAnsi="Calibri" w:cs="Calibri"/>
          <w:color w:val="000000"/>
        </w:rPr>
        <w:t xml:space="preserve"> </w:t>
      </w:r>
      <w:r w:rsidRPr="005E6322">
        <w:rPr>
          <w:rFonts w:ascii="Calibri" w:hAnsi="Calibri" w:cs="Calibri"/>
          <w:color w:val="000000"/>
        </w:rPr>
        <w:t xml:space="preserve"> (</w:t>
      </w:r>
      <w:r w:rsidRPr="004D44D5">
        <w:rPr>
          <w:rFonts w:ascii="Times New Roman" w:hAnsi="Times New Roman" w:cs="Times New Roman"/>
          <w:color w:val="000000"/>
        </w:rPr>
        <w:t>Bank Millennium S.A. Lidzbark Warmiński</w:t>
      </w:r>
      <w:r>
        <w:rPr>
          <w:rFonts w:ascii="Times New Roman" w:hAnsi="Times New Roman" w:cs="Times New Roman"/>
          <w:color w:val="000000"/>
        </w:rPr>
        <w:t>:</w:t>
      </w:r>
      <w:r>
        <w:rPr>
          <w:rFonts w:ascii="Times New Roman" w:hAnsi="Times New Roman"/>
          <w:color w:val="000000"/>
        </w:rPr>
        <w:t xml:space="preserve"> </w:t>
      </w:r>
      <w:r w:rsidRPr="001605C7">
        <w:rPr>
          <w:rFonts w:ascii="Times New Roman" w:hAnsi="Times New Roman" w:cs="Times New Roman"/>
        </w:rPr>
        <w:t xml:space="preserve">Nr rachunku : </w:t>
      </w:r>
      <w:r w:rsidRPr="004D44D5">
        <w:rPr>
          <w:rFonts w:ascii="Times New Roman" w:hAnsi="Times New Roman" w:cs="Times New Roman"/>
          <w:color w:val="000000"/>
        </w:rPr>
        <w:t>14</w:t>
      </w:r>
      <w:r>
        <w:rPr>
          <w:rFonts w:ascii="Times New Roman" w:hAnsi="Times New Roman"/>
          <w:color w:val="000000"/>
        </w:rPr>
        <w:t xml:space="preserve"> </w:t>
      </w:r>
      <w:r w:rsidRPr="004D44D5">
        <w:rPr>
          <w:rFonts w:ascii="Times New Roman" w:hAnsi="Times New Roman" w:cs="Times New Roman"/>
          <w:color w:val="000000"/>
        </w:rPr>
        <w:t>1160</w:t>
      </w:r>
      <w:r>
        <w:rPr>
          <w:rFonts w:ascii="Times New Roman" w:hAnsi="Times New Roman"/>
          <w:color w:val="000000"/>
        </w:rPr>
        <w:t xml:space="preserve"> </w:t>
      </w:r>
      <w:r w:rsidRPr="004D44D5">
        <w:rPr>
          <w:rFonts w:ascii="Times New Roman" w:hAnsi="Times New Roman" w:cs="Times New Roman"/>
          <w:color w:val="000000"/>
        </w:rPr>
        <w:t>2202</w:t>
      </w:r>
      <w:r>
        <w:rPr>
          <w:rFonts w:ascii="Times New Roman" w:hAnsi="Times New Roman"/>
          <w:color w:val="000000"/>
        </w:rPr>
        <w:t xml:space="preserve"> </w:t>
      </w:r>
      <w:r w:rsidRPr="004D44D5">
        <w:rPr>
          <w:rFonts w:ascii="Times New Roman" w:hAnsi="Times New Roman" w:cs="Times New Roman"/>
          <w:color w:val="000000"/>
        </w:rPr>
        <w:t>0000</w:t>
      </w:r>
      <w:r>
        <w:rPr>
          <w:rFonts w:ascii="Times New Roman" w:hAnsi="Times New Roman"/>
          <w:color w:val="000000"/>
        </w:rPr>
        <w:t xml:space="preserve"> </w:t>
      </w:r>
      <w:r w:rsidRPr="004D44D5">
        <w:rPr>
          <w:rFonts w:ascii="Times New Roman" w:hAnsi="Times New Roman" w:cs="Times New Roman"/>
          <w:color w:val="000000"/>
        </w:rPr>
        <w:t>0000</w:t>
      </w:r>
      <w:r>
        <w:rPr>
          <w:rFonts w:ascii="Times New Roman" w:hAnsi="Times New Roman"/>
          <w:color w:val="000000"/>
        </w:rPr>
        <w:t xml:space="preserve"> </w:t>
      </w:r>
      <w:r w:rsidRPr="004D44D5">
        <w:rPr>
          <w:rFonts w:ascii="Times New Roman" w:hAnsi="Times New Roman" w:cs="Times New Roman"/>
          <w:color w:val="000000"/>
        </w:rPr>
        <w:t>6193</w:t>
      </w:r>
      <w:r>
        <w:rPr>
          <w:rFonts w:ascii="Times New Roman" w:hAnsi="Times New Roman"/>
          <w:color w:val="000000"/>
        </w:rPr>
        <w:t xml:space="preserve"> </w:t>
      </w:r>
      <w:r w:rsidRPr="004D44D5">
        <w:rPr>
          <w:rFonts w:ascii="Times New Roman" w:hAnsi="Times New Roman" w:cs="Times New Roman"/>
          <w:color w:val="000000"/>
        </w:rPr>
        <w:t>1366</w:t>
      </w:r>
      <w:r w:rsidRPr="005E6322">
        <w:rPr>
          <w:rFonts w:ascii="Calibri" w:hAnsi="Calibri" w:cs="Calibri"/>
          <w:color w:val="000000"/>
        </w:rPr>
        <w:t>)</w:t>
      </w:r>
      <w:r>
        <w:rPr>
          <w:rFonts w:ascii="Calibri" w:hAnsi="Calibri" w:cs="Calibri"/>
          <w:color w:val="000000"/>
        </w:rPr>
        <w:t>”</w:t>
      </w:r>
      <w:r w:rsidRPr="005E6322">
        <w:rPr>
          <w:rFonts w:ascii="Calibri" w:hAnsi="Calibri" w:cs="Calibri"/>
          <w:color w:val="000000"/>
        </w:rPr>
        <w:t>.</w:t>
      </w:r>
    </w:p>
    <w:p w14:paraId="405BF14D" w14:textId="77777777" w:rsidR="003879BA" w:rsidRPr="005E6322" w:rsidRDefault="003879BA" w:rsidP="003879BA">
      <w:pPr>
        <w:rPr>
          <w:rFonts w:ascii="Calibri" w:hAnsi="Calibri" w:cs="Calibri"/>
          <w:color w:val="000000"/>
        </w:rPr>
      </w:pPr>
      <w:r w:rsidRPr="005E6322">
        <w:rPr>
          <w:rFonts w:ascii="Calibri" w:hAnsi="Calibri" w:cs="Calibri"/>
          <w:color w:val="000000"/>
        </w:rPr>
        <w:t>Ponadto Zamawiający dokonuje sprostowania pomyłek pisarskich:</w:t>
      </w:r>
    </w:p>
    <w:p w14:paraId="2244E8B9" w14:textId="77777777" w:rsidR="003879BA" w:rsidRPr="005E6322" w:rsidRDefault="003879BA" w:rsidP="003879BA">
      <w:pPr>
        <w:pStyle w:val="Akapitzlist"/>
        <w:numPr>
          <w:ilvl w:val="0"/>
          <w:numId w:val="8"/>
        </w:numPr>
        <w:rPr>
          <w:rFonts w:ascii="Calibri" w:hAnsi="Calibri" w:cs="Calibri"/>
          <w:color w:val="000000"/>
        </w:rPr>
      </w:pPr>
      <w:r w:rsidRPr="005E6322">
        <w:rPr>
          <w:rFonts w:ascii="Calibri" w:hAnsi="Calibri" w:cs="Calibri"/>
          <w:color w:val="000000"/>
        </w:rPr>
        <w:t>w pkt. 2.3 SIWZ poprawiono błędne przywołanie Ustawy PZP</w:t>
      </w:r>
    </w:p>
    <w:p w14:paraId="48A0BB34" w14:textId="77777777" w:rsidR="003879BA" w:rsidRPr="005E6322" w:rsidRDefault="003879BA" w:rsidP="003879BA">
      <w:pPr>
        <w:ind w:left="360"/>
        <w:rPr>
          <w:rFonts w:ascii="Calibri" w:hAnsi="Calibri" w:cs="Calibri"/>
          <w:color w:val="000000"/>
        </w:rPr>
      </w:pPr>
      <w:r w:rsidRPr="005E6322">
        <w:rPr>
          <w:rFonts w:ascii="Calibri" w:hAnsi="Calibri" w:cs="Calibri"/>
          <w:color w:val="000000"/>
        </w:rPr>
        <w:t>było:</w:t>
      </w:r>
    </w:p>
    <w:p w14:paraId="593A83FE" w14:textId="77777777" w:rsidR="003879BA" w:rsidRPr="005E6322" w:rsidRDefault="003879BA" w:rsidP="003879BA">
      <w:pPr>
        <w:ind w:left="360"/>
        <w:rPr>
          <w:rFonts w:ascii="Calibri" w:hAnsi="Calibri" w:cs="Calibri"/>
          <w:color w:val="000000"/>
        </w:rPr>
      </w:pPr>
      <w:r w:rsidRPr="005E6322">
        <w:rPr>
          <w:rFonts w:ascii="Calibri" w:hAnsi="Calibri" w:cs="Calibri"/>
          <w:color w:val="000000"/>
        </w:rPr>
        <w:t>„(…) zażąda przedłożenia pozostałych dokumentów w trybie art. 26 ust. 1 Ustawy”,</w:t>
      </w:r>
    </w:p>
    <w:p w14:paraId="34E699C4" w14:textId="77777777" w:rsidR="003879BA" w:rsidRPr="005E6322" w:rsidRDefault="003879BA" w:rsidP="003879BA">
      <w:pPr>
        <w:ind w:left="360"/>
        <w:rPr>
          <w:rFonts w:ascii="Calibri" w:hAnsi="Calibri" w:cs="Calibri"/>
          <w:color w:val="000000"/>
        </w:rPr>
      </w:pPr>
      <w:r w:rsidRPr="005E6322">
        <w:rPr>
          <w:rFonts w:ascii="Calibri" w:hAnsi="Calibri" w:cs="Calibri"/>
          <w:color w:val="000000"/>
        </w:rPr>
        <w:t>powinno być:</w:t>
      </w:r>
    </w:p>
    <w:p w14:paraId="0DA5BCAA" w14:textId="77777777" w:rsidR="003879BA" w:rsidRPr="005E6322" w:rsidRDefault="003879BA" w:rsidP="003879BA">
      <w:pPr>
        <w:ind w:left="360"/>
      </w:pPr>
      <w:r w:rsidRPr="005E6322">
        <w:t>„(…) zażąda przedłożenia pozostałych dokumentów w trybie art. 26 ust. 2 Ustawy”;</w:t>
      </w:r>
    </w:p>
    <w:p w14:paraId="2A436BAC" w14:textId="77777777" w:rsidR="003879BA" w:rsidRPr="005E6322" w:rsidRDefault="003879BA" w:rsidP="003879BA">
      <w:pPr>
        <w:pStyle w:val="Akapitzlist"/>
        <w:numPr>
          <w:ilvl w:val="0"/>
          <w:numId w:val="8"/>
        </w:numPr>
        <w:rPr>
          <w:rFonts w:ascii="Calibri" w:hAnsi="Calibri" w:cs="Calibri"/>
          <w:color w:val="000000"/>
        </w:rPr>
      </w:pPr>
      <w:r w:rsidRPr="005E6322">
        <w:rPr>
          <w:rFonts w:ascii="Calibri" w:hAnsi="Calibri" w:cs="Calibri"/>
          <w:color w:val="000000"/>
        </w:rPr>
        <w:t>pkt. 13.15 zostaje usunięty.</w:t>
      </w:r>
    </w:p>
    <w:p w14:paraId="77867BE0" w14:textId="77777777" w:rsidR="003879BA" w:rsidRPr="005E6322" w:rsidRDefault="003879BA" w:rsidP="003879BA">
      <w:r>
        <w:t>Dodatkowo, biorąc pod uwagę wyjątkowe okoliczności (ogłoszenie stanu epidemii i związana z tym konieczność ograniczenia do minimum bezpośrednich kontaktów międzyludzkich), Zamawiający dopuszcza prezentację próbki oprogramowania, o której mowa w pkt. 6.8.3 SIWZ oraz udzielanie wyjaśnień do próbki przez Wykonawcę za pomocą środków zdalnej komunikacji. W związku z powyższym odpowiednim modyfikacjom podlega Załącznik nr 10 do SIWZ Wymagania dla próbki przedmiotu zamówienia oraz zasady i zakres jej badania (zmiany oznaczono podkreśleniem i pogrubieniem).</w:t>
      </w:r>
    </w:p>
    <w:p w14:paraId="0B8531F3" w14:textId="77777777" w:rsidR="00B7675B" w:rsidRDefault="00B7675B"/>
    <w:sectPr w:rsidR="00B7675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413E2" w14:textId="77777777" w:rsidR="006E70D4" w:rsidRDefault="006E70D4" w:rsidP="00D4763F">
      <w:pPr>
        <w:spacing w:after="0" w:line="240" w:lineRule="auto"/>
      </w:pPr>
      <w:r>
        <w:separator/>
      </w:r>
    </w:p>
  </w:endnote>
  <w:endnote w:type="continuationSeparator" w:id="0">
    <w:p w14:paraId="5571E64B" w14:textId="77777777" w:rsidR="006E70D4" w:rsidRDefault="006E70D4" w:rsidP="00D4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074E6" w14:textId="77777777" w:rsidR="006E70D4" w:rsidRDefault="006E70D4" w:rsidP="00D4763F">
      <w:pPr>
        <w:spacing w:after="0" w:line="240" w:lineRule="auto"/>
      </w:pPr>
      <w:r>
        <w:separator/>
      </w:r>
    </w:p>
  </w:footnote>
  <w:footnote w:type="continuationSeparator" w:id="0">
    <w:p w14:paraId="42725D91" w14:textId="77777777" w:rsidR="006E70D4" w:rsidRDefault="006E70D4" w:rsidP="00D47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C0764" w14:textId="3D32AF63" w:rsidR="00D4763F" w:rsidRDefault="00D4763F">
    <w:pPr>
      <w:pStyle w:val="Nagwek"/>
    </w:pPr>
    <w:r>
      <w:rPr>
        <w:noProof/>
        <w:lang w:eastAsia="pl-PL"/>
      </w:rPr>
      <w:drawing>
        <wp:anchor distT="0" distB="0" distL="114300" distR="114300" simplePos="0" relativeHeight="251659264" behindDoc="0" locked="0" layoutInCell="1" allowOverlap="1" wp14:anchorId="5C7F2D13" wp14:editId="368043D4">
          <wp:simplePos x="0" y="0"/>
          <wp:positionH relativeFrom="margin">
            <wp:posOffset>0</wp:posOffset>
          </wp:positionH>
          <wp:positionV relativeFrom="margin">
            <wp:posOffset>-765175</wp:posOffset>
          </wp:positionV>
          <wp:extent cx="5760720" cy="553720"/>
          <wp:effectExtent l="0" t="0" r="0" b="0"/>
          <wp:wrapSquare wrapText="bothSides"/>
          <wp:docPr id="1" name="Obraz 1"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DF1"/>
    <w:multiLevelType w:val="multilevel"/>
    <w:tmpl w:val="CEB20ECE"/>
    <w:lvl w:ilvl="0">
      <w:start w:val="1"/>
      <w:numFmt w:val="decimal"/>
      <w:lvlText w:val="%1."/>
      <w:lvlJc w:val="left"/>
      <w:pPr>
        <w:ind w:left="360" w:hanging="360"/>
      </w:pPr>
      <w:rPr>
        <w:rFonts w:hint="default"/>
        <w:b w:val="0"/>
        <w:i w:val="0"/>
        <w:sz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92B5C"/>
    <w:multiLevelType w:val="hybridMultilevel"/>
    <w:tmpl w:val="89700A4C"/>
    <w:lvl w:ilvl="0" w:tplc="6FCA0E4A">
      <w:start w:val="1"/>
      <w:numFmt w:val="decimal"/>
      <w:lvlText w:val="%1."/>
      <w:lvlJc w:val="left"/>
      <w:pPr>
        <w:ind w:left="705" w:hanging="705"/>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1CA35762"/>
    <w:multiLevelType w:val="hybridMultilevel"/>
    <w:tmpl w:val="73CCBC7E"/>
    <w:lvl w:ilvl="0" w:tplc="09A8E7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04107E8"/>
    <w:multiLevelType w:val="hybridMultilevel"/>
    <w:tmpl w:val="4762E056"/>
    <w:lvl w:ilvl="0" w:tplc="D7EAD8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9A01D16"/>
    <w:multiLevelType w:val="hybridMultilevel"/>
    <w:tmpl w:val="153E6A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5CA3B74"/>
    <w:multiLevelType w:val="hybridMultilevel"/>
    <w:tmpl w:val="153E6A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0905AF0"/>
    <w:multiLevelType w:val="hybridMultilevel"/>
    <w:tmpl w:val="841CA7D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58272128"/>
    <w:multiLevelType w:val="hybridMultilevel"/>
    <w:tmpl w:val="804C4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75B"/>
    <w:rsid w:val="0002706F"/>
    <w:rsid w:val="0005574F"/>
    <w:rsid w:val="00057B41"/>
    <w:rsid w:val="000B556B"/>
    <w:rsid w:val="001A7DF3"/>
    <w:rsid w:val="001B50E0"/>
    <w:rsid w:val="0023525F"/>
    <w:rsid w:val="002E14CA"/>
    <w:rsid w:val="00314689"/>
    <w:rsid w:val="003879BA"/>
    <w:rsid w:val="00445246"/>
    <w:rsid w:val="00473D1C"/>
    <w:rsid w:val="00532692"/>
    <w:rsid w:val="005A3864"/>
    <w:rsid w:val="006070D6"/>
    <w:rsid w:val="00640C9B"/>
    <w:rsid w:val="006D624C"/>
    <w:rsid w:val="006E70D4"/>
    <w:rsid w:val="00777039"/>
    <w:rsid w:val="007E3D78"/>
    <w:rsid w:val="007F0FE2"/>
    <w:rsid w:val="00836581"/>
    <w:rsid w:val="00884437"/>
    <w:rsid w:val="00896F90"/>
    <w:rsid w:val="00966C9B"/>
    <w:rsid w:val="009D3725"/>
    <w:rsid w:val="00A66DB8"/>
    <w:rsid w:val="00AE0101"/>
    <w:rsid w:val="00B7675B"/>
    <w:rsid w:val="00BA17DA"/>
    <w:rsid w:val="00BB4DF5"/>
    <w:rsid w:val="00BC51DE"/>
    <w:rsid w:val="00BC54E4"/>
    <w:rsid w:val="00BE3321"/>
    <w:rsid w:val="00CA79B4"/>
    <w:rsid w:val="00CC4B9E"/>
    <w:rsid w:val="00D4763F"/>
    <w:rsid w:val="00DD5599"/>
    <w:rsid w:val="00E01D7B"/>
    <w:rsid w:val="00E32544"/>
    <w:rsid w:val="00E376BE"/>
    <w:rsid w:val="00F92E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767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675B"/>
    <w:rPr>
      <w:rFonts w:ascii="Segoe UI" w:hAnsi="Segoe UI" w:cs="Segoe UI"/>
      <w:sz w:val="18"/>
      <w:szCs w:val="18"/>
    </w:rPr>
  </w:style>
  <w:style w:type="paragraph" w:styleId="Tytu">
    <w:name w:val="Title"/>
    <w:basedOn w:val="Normalny"/>
    <w:next w:val="Normalny"/>
    <w:link w:val="TytuZnak"/>
    <w:uiPriority w:val="10"/>
    <w:qFormat/>
    <w:rsid w:val="00B767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675B"/>
    <w:rPr>
      <w:rFonts w:asciiTheme="majorHAnsi" w:eastAsiaTheme="majorEastAsia" w:hAnsiTheme="majorHAnsi" w:cstheme="majorBidi"/>
      <w:spacing w:val="-10"/>
      <w:kern w:val="28"/>
      <w:sz w:val="56"/>
      <w:szCs w:val="56"/>
    </w:rPr>
  </w:style>
  <w:style w:type="paragraph" w:styleId="Akapitzlist">
    <w:name w:val="List Paragraph"/>
    <w:basedOn w:val="Normalny"/>
    <w:uiPriority w:val="34"/>
    <w:qFormat/>
    <w:rsid w:val="009D3725"/>
    <w:pPr>
      <w:ind w:left="720"/>
      <w:contextualSpacing/>
    </w:pPr>
  </w:style>
  <w:style w:type="table" w:styleId="Tabela-Siatka">
    <w:name w:val="Table Grid"/>
    <w:basedOn w:val="Standardowy"/>
    <w:uiPriority w:val="39"/>
    <w:rsid w:val="00CA7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A79B4"/>
    <w:rPr>
      <w:sz w:val="16"/>
      <w:szCs w:val="16"/>
    </w:rPr>
  </w:style>
  <w:style w:type="paragraph" w:styleId="Tekstkomentarza">
    <w:name w:val="annotation text"/>
    <w:basedOn w:val="Normalny"/>
    <w:link w:val="TekstkomentarzaZnak"/>
    <w:uiPriority w:val="99"/>
    <w:semiHidden/>
    <w:unhideWhenUsed/>
    <w:rsid w:val="00CA79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A79B4"/>
    <w:rPr>
      <w:sz w:val="20"/>
      <w:szCs w:val="20"/>
    </w:rPr>
  </w:style>
  <w:style w:type="paragraph" w:styleId="Tematkomentarza">
    <w:name w:val="annotation subject"/>
    <w:basedOn w:val="Tekstkomentarza"/>
    <w:next w:val="Tekstkomentarza"/>
    <w:link w:val="TematkomentarzaZnak"/>
    <w:uiPriority w:val="99"/>
    <w:semiHidden/>
    <w:unhideWhenUsed/>
    <w:rsid w:val="00CA79B4"/>
    <w:rPr>
      <w:b/>
      <w:bCs/>
    </w:rPr>
  </w:style>
  <w:style w:type="character" w:customStyle="1" w:styleId="TematkomentarzaZnak">
    <w:name w:val="Temat komentarza Znak"/>
    <w:basedOn w:val="TekstkomentarzaZnak"/>
    <w:link w:val="Tematkomentarza"/>
    <w:uiPriority w:val="99"/>
    <w:semiHidden/>
    <w:rsid w:val="00CA79B4"/>
    <w:rPr>
      <w:b/>
      <w:bCs/>
      <w:sz w:val="20"/>
      <w:szCs w:val="20"/>
    </w:rPr>
  </w:style>
  <w:style w:type="paragraph" w:styleId="Nagwek">
    <w:name w:val="header"/>
    <w:basedOn w:val="Normalny"/>
    <w:link w:val="NagwekZnak"/>
    <w:uiPriority w:val="99"/>
    <w:unhideWhenUsed/>
    <w:rsid w:val="00D47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763F"/>
  </w:style>
  <w:style w:type="paragraph" w:styleId="Stopka">
    <w:name w:val="footer"/>
    <w:basedOn w:val="Normalny"/>
    <w:link w:val="StopkaZnak"/>
    <w:uiPriority w:val="99"/>
    <w:unhideWhenUsed/>
    <w:rsid w:val="00D47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763F"/>
  </w:style>
  <w:style w:type="character" w:customStyle="1" w:styleId="fontstyle01">
    <w:name w:val="fontstyle01"/>
    <w:basedOn w:val="Domylnaczcionkaakapitu"/>
    <w:rsid w:val="00BA17DA"/>
    <w:rPr>
      <w:rFonts w:ascii="Calibri" w:hAnsi="Calibri" w:cs="Calibri"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767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675B"/>
    <w:rPr>
      <w:rFonts w:ascii="Segoe UI" w:hAnsi="Segoe UI" w:cs="Segoe UI"/>
      <w:sz w:val="18"/>
      <w:szCs w:val="18"/>
    </w:rPr>
  </w:style>
  <w:style w:type="paragraph" w:styleId="Tytu">
    <w:name w:val="Title"/>
    <w:basedOn w:val="Normalny"/>
    <w:next w:val="Normalny"/>
    <w:link w:val="TytuZnak"/>
    <w:uiPriority w:val="10"/>
    <w:qFormat/>
    <w:rsid w:val="00B767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675B"/>
    <w:rPr>
      <w:rFonts w:asciiTheme="majorHAnsi" w:eastAsiaTheme="majorEastAsia" w:hAnsiTheme="majorHAnsi" w:cstheme="majorBidi"/>
      <w:spacing w:val="-10"/>
      <w:kern w:val="28"/>
      <w:sz w:val="56"/>
      <w:szCs w:val="56"/>
    </w:rPr>
  </w:style>
  <w:style w:type="paragraph" w:styleId="Akapitzlist">
    <w:name w:val="List Paragraph"/>
    <w:basedOn w:val="Normalny"/>
    <w:uiPriority w:val="34"/>
    <w:qFormat/>
    <w:rsid w:val="009D3725"/>
    <w:pPr>
      <w:ind w:left="720"/>
      <w:contextualSpacing/>
    </w:pPr>
  </w:style>
  <w:style w:type="table" w:styleId="Tabela-Siatka">
    <w:name w:val="Table Grid"/>
    <w:basedOn w:val="Standardowy"/>
    <w:uiPriority w:val="39"/>
    <w:rsid w:val="00CA7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A79B4"/>
    <w:rPr>
      <w:sz w:val="16"/>
      <w:szCs w:val="16"/>
    </w:rPr>
  </w:style>
  <w:style w:type="paragraph" w:styleId="Tekstkomentarza">
    <w:name w:val="annotation text"/>
    <w:basedOn w:val="Normalny"/>
    <w:link w:val="TekstkomentarzaZnak"/>
    <w:uiPriority w:val="99"/>
    <w:semiHidden/>
    <w:unhideWhenUsed/>
    <w:rsid w:val="00CA79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A79B4"/>
    <w:rPr>
      <w:sz w:val="20"/>
      <w:szCs w:val="20"/>
    </w:rPr>
  </w:style>
  <w:style w:type="paragraph" w:styleId="Tematkomentarza">
    <w:name w:val="annotation subject"/>
    <w:basedOn w:val="Tekstkomentarza"/>
    <w:next w:val="Tekstkomentarza"/>
    <w:link w:val="TematkomentarzaZnak"/>
    <w:uiPriority w:val="99"/>
    <w:semiHidden/>
    <w:unhideWhenUsed/>
    <w:rsid w:val="00CA79B4"/>
    <w:rPr>
      <w:b/>
      <w:bCs/>
    </w:rPr>
  </w:style>
  <w:style w:type="character" w:customStyle="1" w:styleId="TematkomentarzaZnak">
    <w:name w:val="Temat komentarza Znak"/>
    <w:basedOn w:val="TekstkomentarzaZnak"/>
    <w:link w:val="Tematkomentarza"/>
    <w:uiPriority w:val="99"/>
    <w:semiHidden/>
    <w:rsid w:val="00CA79B4"/>
    <w:rPr>
      <w:b/>
      <w:bCs/>
      <w:sz w:val="20"/>
      <w:szCs w:val="20"/>
    </w:rPr>
  </w:style>
  <w:style w:type="paragraph" w:styleId="Nagwek">
    <w:name w:val="header"/>
    <w:basedOn w:val="Normalny"/>
    <w:link w:val="NagwekZnak"/>
    <w:uiPriority w:val="99"/>
    <w:unhideWhenUsed/>
    <w:rsid w:val="00D47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763F"/>
  </w:style>
  <w:style w:type="paragraph" w:styleId="Stopka">
    <w:name w:val="footer"/>
    <w:basedOn w:val="Normalny"/>
    <w:link w:val="StopkaZnak"/>
    <w:uiPriority w:val="99"/>
    <w:unhideWhenUsed/>
    <w:rsid w:val="00D47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763F"/>
  </w:style>
  <w:style w:type="character" w:customStyle="1" w:styleId="fontstyle01">
    <w:name w:val="fontstyle01"/>
    <w:basedOn w:val="Domylnaczcionkaakapitu"/>
    <w:rsid w:val="00BA17DA"/>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20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1513</Words>
  <Characters>9082</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Jerzy Jędrzejewski</cp:lastModifiedBy>
  <cp:revision>4</cp:revision>
  <dcterms:created xsi:type="dcterms:W3CDTF">2020-03-26T11:27:00Z</dcterms:created>
  <dcterms:modified xsi:type="dcterms:W3CDTF">2020-03-26T11:52:00Z</dcterms:modified>
</cp:coreProperties>
</file>